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ind w:left="0" w:firstLine="0"/>
        <w:jc w:val="center"/>
        <w:textAlignment w:val="auto"/>
        <w:rPr>
          <w:rFonts w:hint="eastAsia" w:ascii="方正小标宋简体" w:hAnsi="方正小标宋简体" w:eastAsia="方正小标宋简体" w:cs="方正小标宋简体"/>
          <w:b w:val="0"/>
          <w:bCs w:val="0"/>
          <w:i w:val="0"/>
          <w:iCs w:val="0"/>
          <w:caps w:val="0"/>
          <w:color w:val="333333"/>
          <w:spacing w:val="0"/>
          <w:sz w:val="44"/>
          <w:szCs w:val="44"/>
          <w:shd w:val="clear" w:color="auto" w:fill="auto"/>
        </w:rPr>
      </w:pPr>
      <w:r>
        <w:rPr>
          <w:rStyle w:val="7"/>
          <w:rFonts w:hint="eastAsia" w:ascii="方正小标宋简体" w:hAnsi="方正小标宋简体" w:eastAsia="方正小标宋简体" w:cs="方正小标宋简体"/>
          <w:b w:val="0"/>
          <w:bCs w:val="0"/>
          <w:i w:val="0"/>
          <w:iCs w:val="0"/>
          <w:caps w:val="0"/>
          <w:color w:val="333333"/>
          <w:spacing w:val="0"/>
          <w:sz w:val="44"/>
          <w:szCs w:val="44"/>
          <w:shd w:val="clear" w:color="auto" w:fill="auto"/>
        </w:rPr>
        <w:t>中华人民共和国矿产资源法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lang w:eastAsia="zh-CN"/>
        </w:rPr>
      </w:pPr>
      <w:r>
        <w:rPr>
          <w:rFonts w:hint="eastAsia" w:ascii="Times New Roman" w:hAnsi="Times New Roman" w:eastAsia="仿宋_GB2312" w:cs="仿宋_GB2312"/>
          <w:i w:val="0"/>
          <w:iCs w:val="0"/>
          <w:caps w:val="0"/>
          <w:color w:val="333333"/>
          <w:spacing w:val="0"/>
          <w:sz w:val="32"/>
          <w:szCs w:val="32"/>
          <w:shd w:val="clear" w:color="auto" w:fill="auto"/>
          <w:lang w:eastAsia="zh-CN"/>
        </w:rPr>
        <w:t>（</w:t>
      </w:r>
      <w:r>
        <w:rPr>
          <w:rFonts w:hint="eastAsia" w:ascii="Times New Roman" w:hAnsi="Times New Roman" w:eastAsia="仿宋_GB2312" w:cs="仿宋_GB2312"/>
          <w:i w:val="0"/>
          <w:iCs w:val="0"/>
          <w:caps w:val="0"/>
          <w:color w:val="333333"/>
          <w:spacing w:val="0"/>
          <w:sz w:val="32"/>
          <w:szCs w:val="32"/>
          <w:shd w:val="clear" w:color="auto" w:fill="auto"/>
        </w:rPr>
        <w:t>1986年3月19日第六届全国人民代表大会常务委员会第十五次会议通过 1986年3月19日中华人民共和国主席令第三十六号公布 根据1996年8月29日第八届全国人民代表大会常务委员会第二十一次会议《关于修改&lt;中华人民共和国矿产资源法&gt;的决定》第一次修正 根据2009年8月27日第十一届全国人民代表大会常务委员会第十次会议《关于修改部分法律的决定》第二次修正</w:t>
      </w:r>
      <w:r>
        <w:rPr>
          <w:rFonts w:hint="eastAsia" w:ascii="Times New Roman" w:hAnsi="Times New Roman" w:eastAsia="仿宋_GB2312" w:cs="仿宋_GB2312"/>
          <w:i w:val="0"/>
          <w:iCs w:val="0"/>
          <w:caps w:val="0"/>
          <w:color w:val="333333"/>
          <w:spacing w:val="0"/>
          <w:sz w:val="32"/>
          <w:szCs w:val="32"/>
          <w:shd w:val="clear" w:color="auto" w:fill="auto"/>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Style w:val="7"/>
          <w:rFonts w:hint="eastAsia" w:ascii="Times New Roman" w:hAnsi="Times New Roman" w:eastAsia="仿宋_GB2312" w:cs="仿宋_GB2312"/>
          <w:b/>
          <w:bCs/>
          <w:i w:val="0"/>
          <w:iCs w:val="0"/>
          <w:caps w:val="0"/>
          <w:color w:val="333333"/>
          <w:spacing w:val="0"/>
          <w:sz w:val="32"/>
          <w:szCs w:val="32"/>
          <w:shd w:val="clear" w:color="auto" w:fill="auto"/>
        </w:rPr>
        <w:t>目 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Style w:val="7"/>
          <w:rFonts w:hint="eastAsia" w:ascii="Times New Roman" w:hAnsi="Times New Roman" w:eastAsia="仿宋_GB2312" w:cs="仿宋_GB2312"/>
          <w:b/>
          <w:bCs/>
          <w:i w:val="0"/>
          <w:iCs w:val="0"/>
          <w:caps w:val="0"/>
          <w:color w:val="333333"/>
          <w:spacing w:val="0"/>
          <w:sz w:val="32"/>
          <w:szCs w:val="32"/>
          <w:shd w:val="clear" w:color="auto" w:fill="auto"/>
        </w:rPr>
        <w:t>第一章　总则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Style w:val="7"/>
          <w:rFonts w:hint="eastAsia" w:ascii="Times New Roman" w:hAnsi="Times New Roman" w:eastAsia="仿宋_GB2312" w:cs="仿宋_GB2312"/>
          <w:b/>
          <w:bCs/>
          <w:i w:val="0"/>
          <w:iCs w:val="0"/>
          <w:caps w:val="0"/>
          <w:color w:val="333333"/>
          <w:spacing w:val="0"/>
          <w:sz w:val="32"/>
          <w:szCs w:val="32"/>
          <w:shd w:val="clear" w:color="auto" w:fill="auto"/>
        </w:rPr>
        <w:t>第二章　矿产资源勘查的登记和开采的审批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Style w:val="7"/>
          <w:rFonts w:hint="eastAsia" w:ascii="Times New Roman" w:hAnsi="Times New Roman" w:eastAsia="仿宋_GB2312" w:cs="仿宋_GB2312"/>
          <w:b/>
          <w:bCs/>
          <w:i w:val="0"/>
          <w:iCs w:val="0"/>
          <w:caps w:val="0"/>
          <w:color w:val="333333"/>
          <w:spacing w:val="0"/>
          <w:sz w:val="32"/>
          <w:szCs w:val="32"/>
          <w:shd w:val="clear" w:color="auto" w:fill="auto"/>
        </w:rPr>
        <w:t>第三章　矿产资源的勘查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Style w:val="7"/>
          <w:rFonts w:hint="eastAsia" w:ascii="Times New Roman" w:hAnsi="Times New Roman" w:eastAsia="仿宋_GB2312" w:cs="仿宋_GB2312"/>
          <w:b/>
          <w:bCs/>
          <w:i w:val="0"/>
          <w:iCs w:val="0"/>
          <w:caps w:val="0"/>
          <w:color w:val="333333"/>
          <w:spacing w:val="0"/>
          <w:sz w:val="32"/>
          <w:szCs w:val="32"/>
          <w:shd w:val="clear" w:color="auto" w:fill="auto"/>
        </w:rPr>
        <w:t>第四章　矿产资源的开采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Style w:val="7"/>
          <w:rFonts w:hint="eastAsia" w:ascii="Times New Roman" w:hAnsi="Times New Roman" w:eastAsia="仿宋_GB2312" w:cs="仿宋_GB2312"/>
          <w:b/>
          <w:bCs/>
          <w:i w:val="0"/>
          <w:iCs w:val="0"/>
          <w:caps w:val="0"/>
          <w:color w:val="333333"/>
          <w:spacing w:val="0"/>
          <w:sz w:val="32"/>
          <w:szCs w:val="32"/>
          <w:shd w:val="clear" w:color="auto" w:fill="auto"/>
        </w:rPr>
        <w:t>第五章　集体矿山企业和个体采矿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Style w:val="7"/>
          <w:rFonts w:hint="eastAsia" w:ascii="Times New Roman" w:hAnsi="Times New Roman" w:eastAsia="仿宋_GB2312" w:cs="仿宋_GB2312"/>
          <w:b/>
          <w:bCs/>
          <w:i w:val="0"/>
          <w:iCs w:val="0"/>
          <w:caps w:val="0"/>
          <w:color w:val="333333"/>
          <w:spacing w:val="0"/>
          <w:sz w:val="32"/>
          <w:szCs w:val="32"/>
          <w:shd w:val="clear" w:color="auto" w:fill="auto"/>
        </w:rPr>
        <w:t>第六章　法律责任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Style w:val="7"/>
          <w:rFonts w:hint="eastAsia" w:ascii="Times New Roman" w:hAnsi="Times New Roman" w:eastAsia="仿宋_GB2312" w:cs="仿宋_GB2312"/>
          <w:b/>
          <w:bCs/>
          <w:i w:val="0"/>
          <w:iCs w:val="0"/>
          <w:caps w:val="0"/>
          <w:color w:val="333333"/>
          <w:spacing w:val="0"/>
          <w:sz w:val="32"/>
          <w:szCs w:val="32"/>
          <w:shd w:val="clear" w:color="auto" w:fill="auto"/>
        </w:rPr>
      </w:pPr>
      <w:r>
        <w:rPr>
          <w:rStyle w:val="7"/>
          <w:rFonts w:hint="eastAsia" w:ascii="Times New Roman" w:hAnsi="Times New Roman" w:eastAsia="仿宋_GB2312" w:cs="仿宋_GB2312"/>
          <w:b/>
          <w:bCs/>
          <w:i w:val="0"/>
          <w:iCs w:val="0"/>
          <w:caps w:val="0"/>
          <w:color w:val="333333"/>
          <w:spacing w:val="0"/>
          <w:sz w:val="32"/>
          <w:szCs w:val="32"/>
          <w:shd w:val="clear" w:color="auto" w:fill="auto"/>
        </w:rPr>
        <w:t>第七章　附则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Style w:val="7"/>
          <w:rFonts w:hint="eastAsia" w:ascii="Times New Roman" w:hAnsi="Times New Roman" w:eastAsia="仿宋_GB2312" w:cs="仿宋_GB2312"/>
          <w:b/>
          <w:bCs/>
          <w:i w:val="0"/>
          <w:iCs w:val="0"/>
          <w:caps w:val="0"/>
          <w:color w:val="333333"/>
          <w:spacing w:val="0"/>
          <w:sz w:val="32"/>
          <w:szCs w:val="32"/>
          <w:shd w:val="clear" w:color="auto" w:fill="auto"/>
        </w:rPr>
      </w:pPr>
      <w:bookmarkStart w:id="0" w:name="_GoBack"/>
      <w:bookmarkEnd w:id="0"/>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Style w:val="7"/>
          <w:rFonts w:hint="eastAsia" w:ascii="Times New Roman" w:hAnsi="Times New Roman" w:eastAsia="仿宋_GB2312" w:cs="仿宋_GB2312"/>
          <w:b/>
          <w:bCs/>
          <w:i w:val="0"/>
          <w:iCs w:val="0"/>
          <w:caps w:val="0"/>
          <w:color w:val="333333"/>
          <w:spacing w:val="0"/>
          <w:sz w:val="32"/>
          <w:szCs w:val="32"/>
          <w:shd w:val="clear" w:color="auto" w:fill="auto"/>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Style w:val="7"/>
          <w:rFonts w:hint="eastAsia" w:ascii="Times New Roman" w:hAnsi="Times New Roman" w:eastAsia="仿宋_GB2312" w:cs="仿宋_GB2312"/>
          <w:b/>
          <w:bCs/>
          <w:i w:val="0"/>
          <w:iCs w:val="0"/>
          <w:caps w:val="0"/>
          <w:color w:val="333333"/>
          <w:spacing w:val="0"/>
          <w:sz w:val="32"/>
          <w:szCs w:val="32"/>
          <w:shd w:val="clear" w:color="auto" w:fill="auto"/>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Style w:val="7"/>
          <w:rFonts w:hint="eastAsia" w:ascii="Times New Roman" w:hAnsi="Times New Roman" w:eastAsia="仿宋_GB2312" w:cs="仿宋_GB2312"/>
          <w:b/>
          <w:bCs/>
          <w:i w:val="0"/>
          <w:iCs w:val="0"/>
          <w:caps w:val="0"/>
          <w:color w:val="333333"/>
          <w:spacing w:val="0"/>
          <w:sz w:val="32"/>
          <w:szCs w:val="32"/>
          <w:shd w:val="clear" w:color="auto" w:fill="auto"/>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Style w:val="7"/>
          <w:rFonts w:hint="eastAsia" w:ascii="Times New Roman" w:hAnsi="Times New Roman" w:eastAsia="仿宋_GB2312" w:cs="仿宋_GB2312"/>
          <w:b/>
          <w:bCs/>
          <w:i w:val="0"/>
          <w:iCs w:val="0"/>
          <w:caps w:val="0"/>
          <w:color w:val="333333"/>
          <w:spacing w:val="0"/>
          <w:sz w:val="32"/>
          <w:szCs w:val="32"/>
          <w:shd w:val="clear" w:color="auto" w:fill="auto"/>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Style w:val="7"/>
          <w:rFonts w:hint="eastAsia" w:ascii="Times New Roman" w:hAnsi="Times New Roman" w:eastAsia="仿宋_GB2312" w:cs="仿宋_GB2312"/>
          <w:b/>
          <w:bCs/>
          <w:i w:val="0"/>
          <w:iCs w:val="0"/>
          <w:caps w:val="0"/>
          <w:color w:val="333333"/>
          <w:spacing w:val="0"/>
          <w:sz w:val="32"/>
          <w:szCs w:val="32"/>
          <w:shd w:val="clear" w:color="auto" w:fill="auto"/>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Style w:val="7"/>
          <w:rFonts w:hint="eastAsia" w:ascii="Times New Roman" w:hAnsi="Times New Roman" w:eastAsia="仿宋_GB2312" w:cs="仿宋_GB2312"/>
          <w:b/>
          <w:bCs/>
          <w:i w:val="0"/>
          <w:iCs w:val="0"/>
          <w:caps w:val="0"/>
          <w:color w:val="333333"/>
          <w:spacing w:val="0"/>
          <w:sz w:val="32"/>
          <w:szCs w:val="32"/>
          <w:shd w:val="clear" w:color="auto" w:fill="auto"/>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Style w:val="7"/>
          <w:rFonts w:hint="eastAsia" w:ascii="Times New Roman" w:hAnsi="Times New Roman" w:eastAsia="仿宋_GB2312" w:cs="仿宋_GB2312"/>
          <w:b/>
          <w:bCs/>
          <w:i w:val="0"/>
          <w:iCs w:val="0"/>
          <w:caps w:val="0"/>
          <w:color w:val="333333"/>
          <w:spacing w:val="0"/>
          <w:sz w:val="32"/>
          <w:szCs w:val="32"/>
          <w:shd w:val="clear" w:color="auto" w:fill="auto"/>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Style w:val="7"/>
          <w:rFonts w:hint="eastAsia" w:ascii="Times New Roman" w:hAnsi="Times New Roman" w:eastAsia="仿宋_GB2312" w:cs="仿宋_GB2312"/>
          <w:b/>
          <w:bCs/>
          <w:i w:val="0"/>
          <w:iCs w:val="0"/>
          <w:caps w:val="0"/>
          <w:color w:val="333333"/>
          <w:spacing w:val="0"/>
          <w:sz w:val="32"/>
          <w:szCs w:val="32"/>
          <w:shd w:val="clear" w:color="auto" w:fill="auto"/>
        </w:rPr>
        <w:t>第一章　总则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第一条　为了发展矿业，加强矿产资源的勘查、开发利用和保护工作，保障社会主义现代化建设的当前和长远的需要，根据中华人民共和国宪法，特制定本法。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第二条　在中华人民共和国领域及管辖海域勘查、开采矿产资源，必须遵守本法。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第三条　矿产资源属于国家所有，由国务院行使国家对矿产资源的所有权。地表或者地下的矿产资源的国家所有权，不因其所依附的土地的所有权或者使用权的不同而改变。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国家保障矿产资源的合理开发利用。禁止任何组织或者个人用任何手段侵占或者破坏矿产资源。各级人民政府必须加强矿产资源的保护工作。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勘查、开采矿产资源，必须依法分别申请、经批准取得探矿权、采矿权，并办理登记；但是，已经依法申请取得采矿权的矿山企业在划定的矿区范围内为本企业的生产而进行的勘查除外。国家保护探矿权和采矿权不受侵犯，保障矿区和勘查作业区的生产秩序、工作秩序不受影响和破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从事矿产资源勘查和开采的，必须符合规定的资质条件。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第四条　国家保障依法设立的矿山企业开采矿产资源的合法权益。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国有矿山企业是开采矿产资源的主体。国家保障国有矿业经济的巩固和发展。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第五条　国家实行探矿权、采矿权有偿取得的制度；但是，国家对探矿权、采矿权有偿取得的费用，可以根据不同情况规定予以减缴、免缴。具体办法和实施步骤由国务院规定。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开采矿产资源，必须按照国家有关规定缴纳资源税和资源补偿费。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第六条　除按下列规定可以转让外，探矿权、采矿权不得转让: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（一）探矿权人有权在划定的勘查作业区内进行规定的勘查作业，有权优先取得勘查作业区内矿产资源的采矿权。探矿权人在完成规定的最低勘查投入后，经依法批准，可以将探矿权转让他人。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（二）已取得采矿权的矿山企业，因企业合并、分立，与他人合资、合作经营，或者因企业资产出售以及有其他变更企业资产产权的情形而需要变更采矿权主体的，经依法批准可以将采矿权转让他人采矿。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前款规定的具体办法和实施步骤由国务院规定。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禁止将探矿权、采矿权倒卖牟利。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第七条　国家对矿产资源的勘查、开发实行统一规划、合理布局、综合勘查、合理开采和综合利用的方针。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第八条　国家鼓励矿产资源勘查、开发的科学技术研究，推广先进技术，提高矿产资源勘查、开发的科学技术水平。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第九条　在勘查、开发、保护矿产资源和进行科学技术研究等方面成绩显著的单位和个人，由各级人民政府给予奖励。</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第十条　国家在民族自治地方开采矿产资源，应当照顾民族自治地方的利益，作出有利于民族自治地方经济建设的安排，照顾当地少数民族群众的生产和生活。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民族自治地方的自治机关根据法律规定和国家的统一规划，对可以由本地方开发的矿产资源，优先合理开发利用。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第十一条　国务院地质矿产主管部门主管全国矿产资源勘查、开采的监督管理工作。国务院有关主管部门协助国务院地质矿产主管部门进行矿产资源勘查、开采的监督管理工作。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省、自治区、直辖市人民政府地质矿产主管部门主管本行政区域内矿产资源勘查、开采的监督管理工作。省、自治区、直辖市人民政府有关主管部门协助同级地质矿产主管部门进行矿产资源勘查、开采的监督管理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Style w:val="7"/>
          <w:rFonts w:hint="eastAsia" w:ascii="Times New Roman" w:hAnsi="Times New Roman" w:eastAsia="仿宋_GB2312" w:cs="仿宋_GB2312"/>
          <w:b/>
          <w:bCs/>
          <w:i w:val="0"/>
          <w:iCs w:val="0"/>
          <w:caps w:val="0"/>
          <w:color w:val="333333"/>
          <w:spacing w:val="0"/>
          <w:sz w:val="32"/>
          <w:szCs w:val="32"/>
          <w:shd w:val="clear" w:color="auto" w:fill="auto"/>
        </w:rPr>
        <w:t>第二章　矿产资源勘查的登记和开采的审批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第十二条　国家对矿产资源勘查实行统一的区块登记管理制度。矿产资源勘查登记工作，由国务院地质矿产主管部门负责；特定矿种的矿产资源勘查登记工作，可以由国务院授权有关主管部门负责。矿产资源勘查区块登记管理办法由国务院制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第十三条　国务院矿产储量审批机构或者省、自治区、直辖市矿产储量审批机构负责审查批准供矿山建设设计使用的勘探报告，并在规定的期限内批复报送单位。勘探报告未经批准，不得作为矿山建设设计的依据。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第十四条　矿产资源勘查成果档案资料和各类矿产储量的统计资料，实行统一的管理制度，按照国务院规定汇交或者填报。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第十五条　设立矿山企业，必须符合国家规定的资质条件，并依照法律和国家有关规定，由审批机关对其矿区范围、矿山设计或者开采方案、生产技术条件、安全措施和环境保护措施等进行审查；审查合格的，方予批准。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第十六条　开采下列矿产资源的，由国务院地质矿产主管部门审批，并颁发采矿许可证: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（一）国家规划矿区和对国民经济具有重要价值的矿区内的矿产资源；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（二）前项规定区域以外可供开采的矿产储量规模在大型以上的矿产资源；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（三）国家规定实行保护性开采的特定矿种；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（四）领海及中国管辖的其他海域的矿产资源；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（五）国务院规定的其他矿产资源。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开采石油、天然气、放射性矿产等特定矿种的，可以由国务院授权的有关主管部门审批，并颁发采矿许可证。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开采第一款、第二款规定以外的矿产资源，其可供开采的矿产的储量规模为中型的，由省、自治区、直辖市人民政府地质矿产主管部门审批和颁发采矿许可证。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开采第一款、第二款和第三款规定以外的矿产资源的管理办法，由省、自治区、直辖市人民代表大会常务委员会依法制定。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依照第三款、第四款的规定审批和颁发采矿许可证的，由省、自治区、直辖市人民政府地质矿产主管部门汇总向国务院地质矿产主管部门备案。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矿产储量规模的大型、中型的划分标准，由国务院矿产储量审批机构规定。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第十七条　国家对国家规划矿区、对国民经济具有重要价值的矿区和国家规定实行保护性开采的特定矿种，实行有计划的开采；未经国务院有关主管部门批准，任何单位和个人不得开采。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第十八条　国家规划矿区的范围、对国民经济具有重要价值的矿区的范围、矿山企业矿区的范围依法划定后，由划定矿区范围的主管机关通知有关县级人民政府予以公告。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矿山企业变更矿区范围，必须报请原审批机关批准，并报请原颁发采矿许可证的机关重新核发采矿许可证。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第十九条　地方各级人民政府应当采取措施，维护本行政区域内的国有矿山企业和其他矿山企业矿区范围内的正常秩序。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禁止任何单位和个人进入他人依法设立的国有矿山企业和其他矿山企业矿区范围内采矿。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第二十条　非经国务院授权的有关主管部门同意，不得在下列地区开采矿产资源: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（一）港口、机场、国防工程设施圈定地区以内；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（二）重要工业区、大型水利工程设施、城镇市政工程设施附近一定距离以内；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（三）铁路、重要公路两侧一定距离以内；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（四）重要河流、堤坝两侧一定距离以内；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（五）国家划定的自然保护区、重要风景区，国家重点保护的不能移动的历史文物和名胜古迹所在地；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（六）国家规定不得开采矿产资源的其他地区。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第二十一条　关闭矿山，必须提出矿山闭坑报告及有关采掘工程、不安全隐患、土地复垦利用、环境保护的资料，并按照国家规定报请审查批准。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第二十二条　勘查、开采矿产资源时，发现具有重大科学文化价值的罕见地质现象以及文化古迹，应当加以保护并及时报告有关部门。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Style w:val="7"/>
          <w:rFonts w:hint="eastAsia" w:ascii="Times New Roman" w:hAnsi="Times New Roman" w:eastAsia="仿宋_GB2312" w:cs="仿宋_GB2312"/>
          <w:b/>
          <w:bCs/>
          <w:i w:val="0"/>
          <w:iCs w:val="0"/>
          <w:caps w:val="0"/>
          <w:color w:val="333333"/>
          <w:spacing w:val="0"/>
          <w:sz w:val="32"/>
          <w:szCs w:val="32"/>
          <w:shd w:val="clear" w:color="auto" w:fill="auto"/>
        </w:rPr>
        <w:t>第三章　矿产资源的勘查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第二十三条　区域地质调查按照国家统一规划进行。区域地质调查的报告和图件按照国家规定验收，提供有关部门使用。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第二十四条　矿产资源普查在完成主要矿种普查任务的同时，应当对工作区内包括共生或者伴生矿产的成矿地质条件和矿床工业远景作出初步综合评价。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第二十五条　矿床勘探必须对矿区内具有工业价值的共生和伴生矿产进行综合评价，并计算其储量。未作综合评价的勘探报告不予批准。但是，国务院计划部门另有规定的矿床勘探项目除外。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第二十六条　普查、勘探易损坏的特种非金属矿产、流体矿产、易燃易爆易溶矿产和含有放射性元素的矿产，必须采用省级以上人民政府有关主管部门规定的普查、勘探方法，并有必要的技术装备和安全措施。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第二十七条　矿产资源勘查的原始地质编录和图件，岩矿心、测试样品和其他实物标本资料，各种勘查标志，应当按照有关规定保护和保存。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第二十八条　矿床勘探报告及其他有价值的勘查资料，按照国务院规定实行有偿使用。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Style w:val="7"/>
          <w:rFonts w:hint="eastAsia" w:ascii="Times New Roman" w:hAnsi="Times New Roman" w:eastAsia="仿宋_GB2312" w:cs="仿宋_GB2312"/>
          <w:b/>
          <w:bCs/>
          <w:i w:val="0"/>
          <w:iCs w:val="0"/>
          <w:caps w:val="0"/>
          <w:color w:val="333333"/>
          <w:spacing w:val="0"/>
          <w:sz w:val="32"/>
          <w:szCs w:val="32"/>
          <w:shd w:val="clear" w:color="auto" w:fill="auto"/>
        </w:rPr>
        <w:t>第四章　矿产资源的开采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第二十九条　开采矿产资源，必须采取合理的开采顺序、开采方法和选矿工艺。矿山企业的开采回采率、采矿贫化率和选矿回收率应当达到设计要求。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第三十条　在开采主要矿产的同时，对具有工业价值的共生和伴生矿产应当统一规划，综合开采，综合利用，防止浪费；对暂时不能综合开采或者必须同时采出而暂时还不能综合利用的矿产以及含有有用组分的尾矿，应当采取有效的保护措施，防止损失破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第三十一条　开采矿产资源，必须遵守国家劳动安全卫生规定，具备保障安全生产的必要条件。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第三十二条　开采矿产资源，必须遵守有关环境保护的法律规定，防止污染环境。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开采矿产资源，应当节约用地。耕地、草原、林地因采矿受到破坏的，矿山企业应当因地制宜地采取复垦利用、植树种草或者其他利用措施。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开采矿产资源给他人生产、生活造成损失的，应当负责赔偿，并采取必要的补救措施。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第三十三条　在建设铁路、工厂、水库、输油管道、输电线路和各种大型建筑物或者建筑群之前，建设单位必须向所在省、自治区、直辖市地质矿产主管部门了解拟建工程所在地区的矿产资源分布和开采情况。非经国务院授权的部门批准，不得压覆重要矿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第三十四条　国务院规定由指定的单位统一收购的矿产品，任何其他单位或者个人不得收购；开采者不得向非指定单位销售。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Style w:val="7"/>
          <w:rFonts w:hint="eastAsia" w:ascii="Times New Roman" w:hAnsi="Times New Roman" w:eastAsia="仿宋_GB2312" w:cs="仿宋_GB2312"/>
          <w:b/>
          <w:bCs/>
          <w:i w:val="0"/>
          <w:iCs w:val="0"/>
          <w:caps w:val="0"/>
          <w:color w:val="333333"/>
          <w:spacing w:val="0"/>
          <w:sz w:val="32"/>
          <w:szCs w:val="32"/>
          <w:shd w:val="clear" w:color="auto" w:fill="auto"/>
        </w:rPr>
        <w:t>第五章　集体矿山企业和个体采矿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第三十五条　国家对集体矿山企业和个体采矿实行积极扶持、合理规划、正确引导、加强管理的方针，鼓励集体矿山企业开采国家指定范围内的矿产资源，允许个人采挖零星分散资源和只能用作普通建筑材料的砂、石、粘土以及为生活自用采挖少量矿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矿产储量规模适宜由矿山企业开采的矿产资源、国家规定实行保护性开采的特定矿种和国家规定禁止个人开采的其他矿产资源，个人不得开采。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国家指导、帮助集体矿山企业和个体采矿不断提高技术水平、资源利用率和经济效益。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地质矿产主管部门、地质工作单位和国有矿山企业应当按照积极支持、有偿互惠的原则向集体矿山企业和个体采矿提供地质资料和技术服务。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第三十六条　国务院和国务院有关主管部门批准开办的矿山企业矿区范围内已有的集体矿山企业，应当关闭或者到指定的其他地点开采，由矿山建设单位给予合理的补偿，并妥善安置群众生活；也可以按照该矿山企业的统筹安排，实行联合经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第三十七条　集体矿山企业和个体采矿应当提高技术水平，提高矿产资源回收率。禁止乱挖滥采，破坏矿产资源。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集体矿山企业必须测绘井上、井下工程对照图。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第三十八条　县级以上人民政府应当指导、帮助集体矿山企业和个体采矿进行技术改造，改善经营管理，加强安全生产。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Style w:val="7"/>
          <w:rFonts w:hint="eastAsia" w:ascii="Times New Roman" w:hAnsi="Times New Roman" w:eastAsia="仿宋_GB2312" w:cs="仿宋_GB2312"/>
          <w:b/>
          <w:bCs/>
          <w:i w:val="0"/>
          <w:iCs w:val="0"/>
          <w:caps w:val="0"/>
          <w:color w:val="333333"/>
          <w:spacing w:val="0"/>
          <w:sz w:val="32"/>
          <w:szCs w:val="32"/>
          <w:shd w:val="clear" w:color="auto" w:fill="auto"/>
        </w:rPr>
        <w:t>第六章　法律责任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第三十九条　违反本法规定，未取得采矿许可证擅自采矿的，擅自进入国家规划矿区、对国民经济具有重要价值的矿区范围采矿的，擅自开采国家规定实行保护性开采的特定矿种的，责令停止开采、赔偿损失，没收采出的矿产品和违法所得，可以并处罚款；拒不停止开采，造成矿产资源破坏的，依照刑法有关规定对直接责任人员追究刑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单位和个人进入他人依法设立的国有矿山企业和其他矿山企业矿区范围内采矿的，依照前款规定处罚。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第四十条　超越批准的矿区范围采矿的，责令退回本矿区范围内开采、赔偿损失，没收越界开采的矿产品和违法所得，可以并处罚款；拒不退回本矿区范围内开采，造成矿产资源破坏的，吊销采矿许可证，依照刑法有关规定对直接责任人员追究刑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第四十一条　盗窃、抢夺矿山企业和勘查单位的矿产品和其他财物的，破坏采矿、勘查设施的，扰乱矿区和勘查作业区的生产秩序、工作秩序的，分别依照刑法有关规定追究刑事责任；情节显著轻微的，依照治安管理处罚法有关规定予以处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第四十二条　买卖、出租或者以其他形式转让矿产资源的，没收违法所得，处以罚款。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违反本法第六条的规定将探矿权、采矿权倒卖牟利的，吊销勘查许可证、采矿许可证，没收违法所得，处以罚款。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第四十三条　违反本法规定收购和销售国家统一收购的矿产品的，没收矿产品和违法所得，可以并处罚款；情节严重的，依照刑法有关规定，追究刑事责任。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第四十四条　违反本法规定，采取破坏性的开采方法开采矿产资源的，处以罚款，可以吊销采矿许可证；造成矿产资源严重破坏的，依照刑法有关规定对直接责任人员追究刑事责任。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第四十五条　本法第三十九条、第四十条、第四十二条规定的行政处罚，由县级以上人民政府负责地质矿产管理工作的部门按照国务院地质矿产主管部门规定的权限决定。第四十三条规定的行政处罚，由县级以上人民政府工商行政管理部门决定。第四十四条规定的行政处罚，由省、自治区、直辖市人民政府地质矿产主管部门决定。给予吊销勘查许可证或者采矿许可证处罚的，须由原发证机关决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依照第三十九条、第四十条、第四十二条、第四十四条规定应当给予行政处罚而不给予行政处罚的，上级人民政府地质矿产主管部门有权责令改正或者直接给予行政处罚。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第四十六条　当事人对行政处罚决定不服的，可以依法申请复议，也可以依法直接向人民法院起诉。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当事人逾期不申请复议也不向人民法院起诉，又不履行处罚决定的，由作出处罚决定的机关申请人民法院强制执行。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第四十七条　负责矿产资源勘查、开采监督管理工作的国家工作人员和其他有关国家工作人员徇私舞弊、滥用职权或者玩忽职守，违反本法规定批准勘查、开采矿产资源和颁发勘查许可证、采矿许可证，或者对违法采矿行为不依法予以制止、处罚，构成犯罪的，依法追究刑事责任；不构成犯罪的，给予行政处分。违法颁发的勘查许可证、采矿许可证，上级人民政府地质矿产主管部门有权予以撤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第四十八条　以暴力、威胁方法阻碍从事矿产资源勘查、开采监督管理工作的国家工作人员依法执行职务的，依照刑法有关规定追究刑事责任；拒绝、阻碍从事矿产资源勘查、开采监督管理工作的国家工作人员依法执行职务未使用暴力、威胁方法的，由公安机关依照治安管理处罚法的规定处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第四十九条　矿山企业之间的矿区范围的争议，由当事人协商解决，协商不成的，由有关县级以上地方人民政府根据依法核定的矿区范围处理；跨省、自治区、直辖市的矿区范围的争议，由有关省、自治区、直辖市人民政府协商解决，协商不成的，由国务院处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Style w:val="7"/>
          <w:rFonts w:hint="eastAsia" w:ascii="Times New Roman" w:hAnsi="Times New Roman" w:eastAsia="仿宋_GB2312" w:cs="仿宋_GB2312"/>
          <w:b/>
          <w:bCs/>
          <w:i w:val="0"/>
          <w:iCs w:val="0"/>
          <w:caps w:val="0"/>
          <w:color w:val="333333"/>
          <w:spacing w:val="0"/>
          <w:sz w:val="32"/>
          <w:szCs w:val="32"/>
          <w:shd w:val="clear" w:color="auto" w:fill="auto"/>
        </w:rPr>
        <w:t>第七章　附则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第五十条　外商投资勘查、开采矿产资源，法律、行政法规另有规定的，从其规定。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第五十一条　本法施行以前，未办理批准手续、未划定矿区范围、未取得采矿许可证开采矿产资源的，应当依照本法有关规定申请补办手续。</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60" w:lineRule="exact"/>
        <w:ind w:lef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第五十二条　本法实施细则由国务院制定。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仿宋_GB2312"/>
          <w:i w:val="0"/>
          <w:iCs w:val="0"/>
          <w:caps w:val="0"/>
          <w:color w:val="333333"/>
          <w:spacing w:val="0"/>
          <w:sz w:val="32"/>
          <w:szCs w:val="32"/>
          <w:shd w:val="clear" w:color="auto" w:fill="auto"/>
        </w:rPr>
      </w:pPr>
      <w:r>
        <w:rPr>
          <w:rFonts w:hint="eastAsia" w:ascii="Times New Roman" w:hAnsi="Times New Roman" w:eastAsia="仿宋_GB2312" w:cs="仿宋_GB2312"/>
          <w:i w:val="0"/>
          <w:iCs w:val="0"/>
          <w:caps w:val="0"/>
          <w:color w:val="333333"/>
          <w:spacing w:val="0"/>
          <w:sz w:val="32"/>
          <w:szCs w:val="32"/>
          <w:shd w:val="clear" w:color="auto" w:fill="auto"/>
        </w:rPr>
        <w:t>第五十三条　本法自1986年10月1日施行。</w:t>
      </w:r>
    </w:p>
    <w:p>
      <w:pPr>
        <w:keepNext w:val="0"/>
        <w:keepLines w:val="0"/>
        <w:pageBreakBefore w:val="0"/>
        <w:shd w:val="clear"/>
        <w:kinsoku/>
        <w:wordWrap/>
        <w:overflowPunct/>
        <w:topLinePunct w:val="0"/>
        <w:autoSpaceDE/>
        <w:autoSpaceDN/>
        <w:bidi w:val="0"/>
        <w:adjustRightInd/>
        <w:snapToGrid/>
        <w:spacing w:beforeAutospacing="0" w:afterAutospacing="0" w:line="560" w:lineRule="exact"/>
        <w:textAlignment w:val="auto"/>
        <w:rPr>
          <w:rFonts w:hint="eastAsia" w:ascii="Times New Roman" w:hAnsi="Times New Roman" w:eastAsia="仿宋_GB2312" w:cs="仿宋_GB2312"/>
          <w:sz w:val="32"/>
          <w:szCs w:val="32"/>
          <w:shd w:val="clear" w:color="auto" w:fill="auto"/>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Fm/S8feAgAAJAYAAA4AAAAAAAAAAQAgAAAAHwEAAGRycy9lMm9Eb2MueG1sUEsF&#10;BgAAAAAGAAYAWQEAAG8GAAAAAA==&#10;">
              <v:fill on="f" focussize="0,0"/>
              <v:stroke on="f" weight="0.5pt"/>
              <v:imagedata o:title=""/>
              <o:lock v:ext="edit" aspectratio="f"/>
              <v:textbox inset="0mm,0mm,0mm,0mm" style="mso-fit-shape-to-text:t;">
                <w:txbxContent>
                  <w:p>
                    <w:pPr>
                      <w:pStyle w:val="2"/>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E265ED"/>
    <w:rsid w:val="13414550"/>
    <w:rsid w:val="2AEE4A1B"/>
    <w:rsid w:val="38DB01DF"/>
    <w:rsid w:val="41801C4B"/>
    <w:rsid w:val="44575769"/>
    <w:rsid w:val="448636F5"/>
    <w:rsid w:val="4ABE64B8"/>
    <w:rsid w:val="593E712E"/>
    <w:rsid w:val="71902C0D"/>
    <w:rsid w:val="7AA74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5892</Words>
  <Characters>5913</Characters>
  <Lines>0</Lines>
  <Paragraphs>0</Paragraphs>
  <TotalTime>15</TotalTime>
  <ScaleCrop>false</ScaleCrop>
  <LinksUpToDate>false</LinksUpToDate>
  <CharactersWithSpaces>5984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2022-03-31T06:50:00Z</dcterms:created>
  <dc:creator>Administrator</dc:creator>
  <cp:lastModifiedBy>Lenovo</cp:lastModifiedBy>
  <dcterms:modified xsi:type="dcterms:W3CDTF">2022-04-11T02:48:44Z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F1759E0E6C87431D8CEA2E965FDAAF47</vt:lpwstr>
  </property>
</Properties>
</file>